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B6" w:rsidRPr="002A01B6" w:rsidRDefault="002A01B6" w:rsidP="002A01B6">
      <w:pPr>
        <w:jc w:val="center"/>
        <w:rPr>
          <w:rFonts w:asciiTheme="majorHAnsi" w:hAnsiTheme="majorHAnsi"/>
          <w:b/>
          <w:i/>
          <w:color w:val="3E3532"/>
        </w:rPr>
      </w:pPr>
      <w:r w:rsidRPr="002A01B6">
        <w:rPr>
          <w:rFonts w:asciiTheme="majorHAnsi" w:hAnsiTheme="majorHAnsi"/>
          <w:b/>
          <w:i/>
          <w:color w:val="3E3532"/>
        </w:rPr>
        <w:t>Sale konferencyjne w Polskiej Filharmonii Bałtyckiej  spełniają wszelkie, nawet najbardziej wygórowane oczekiwania, a w dodatku są zlokalizowane w centrum miasta Gdańsk, co zarówno pod względem logistycznym, jak i turystycznym jest dużym plusem. Pomieszczenia zostały wyposażone w niezbędny sprzęt, a doświadczona obsługa służy pomocą i radą w każdym aspekcie. Budynek posiada aż osiem sal konferencyjnych, których metraż waha się od 30 do 190 m2. W zależności od ustawiania krzeseł największe z nich są w stanie pomieścić nawet 250 osób. Istnieje także możliwość organizacji większej konferencji lub kongresu na sali koncertowej, która mieści do 900 osób. Przestronne foyer, to również przestrzeń na organizowanie Targów czy uroczystych gal i bankietów.</w:t>
      </w:r>
    </w:p>
    <w:p w:rsidR="003C134F" w:rsidRPr="002A01B6" w:rsidRDefault="003C134F">
      <w:pPr>
        <w:rPr>
          <w:rFonts w:asciiTheme="majorHAnsi" w:hAnsiTheme="majorHAnsi"/>
          <w:i/>
        </w:rPr>
      </w:pPr>
    </w:p>
    <w:p w:rsidR="002A01B6" w:rsidRPr="002A01B6" w:rsidRDefault="002A01B6">
      <w:pPr>
        <w:rPr>
          <w:rFonts w:asciiTheme="majorHAnsi" w:hAnsiTheme="majorHAnsi"/>
          <w:i/>
        </w:rPr>
      </w:pPr>
    </w:p>
    <w:p w:rsidR="002A01B6" w:rsidRPr="002A01B6" w:rsidRDefault="002A01B6" w:rsidP="002A01B6">
      <w:pPr>
        <w:spacing w:after="0" w:line="240" w:lineRule="auto"/>
        <w:jc w:val="center"/>
        <w:textAlignment w:val="baseline"/>
        <w:rPr>
          <w:rFonts w:asciiTheme="majorHAnsi" w:eastAsia="Times New Roman" w:hAnsiTheme="majorHAnsi" w:cs="Times New Roman"/>
          <w:i/>
          <w:color w:val="3E3532"/>
          <w:lang w:eastAsia="pl-PL"/>
        </w:rPr>
      </w:pPr>
      <w:r w:rsidRPr="002A01B6">
        <w:rPr>
          <w:rFonts w:asciiTheme="majorHAnsi" w:eastAsia="Times New Roman" w:hAnsiTheme="majorHAnsi" w:cs="Times New Roman"/>
          <w:b/>
          <w:bCs/>
          <w:i/>
          <w:color w:val="3E3532"/>
          <w:lang w:eastAsia="pl-PL"/>
        </w:rPr>
        <w:t>CENNIK I USTAWIENIE SAL KONFERENCYJNYCH</w:t>
      </w:r>
    </w:p>
    <w:tbl>
      <w:tblPr>
        <w:tblW w:w="8940" w:type="dxa"/>
        <w:tblCellMar>
          <w:left w:w="0" w:type="dxa"/>
          <w:right w:w="0" w:type="dxa"/>
        </w:tblCellMar>
        <w:tblLook w:val="04A0"/>
      </w:tblPr>
      <w:tblGrid>
        <w:gridCol w:w="1576"/>
        <w:gridCol w:w="1349"/>
        <w:gridCol w:w="1576"/>
        <w:gridCol w:w="1424"/>
        <w:gridCol w:w="1576"/>
        <w:gridCol w:w="1439"/>
      </w:tblGrid>
      <w:tr w:rsidR="002A01B6" w:rsidRPr="002A01B6" w:rsidTr="002A01B6">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SALA</w:t>
            </w:r>
          </w:p>
        </w:tc>
        <w:tc>
          <w:tcPr>
            <w:tcW w:w="1335" w:type="dxa"/>
            <w:tcBorders>
              <w:top w:val="nil"/>
              <w:left w:val="nil"/>
              <w:bottom w:val="nil"/>
              <w:right w:val="nil"/>
            </w:tcBorders>
            <w:vAlign w:val="bottom"/>
            <w:hideMark/>
          </w:tcPr>
          <w:p w:rsidR="002A01B6" w:rsidRPr="002A01B6" w:rsidRDefault="002A01B6" w:rsidP="002A01B6">
            <w:pPr>
              <w:spacing w:after="0" w:line="240" w:lineRule="auto"/>
              <w:jc w:val="center"/>
              <w:textAlignment w:val="baseline"/>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Pow.(m2)</w:t>
            </w:r>
          </w:p>
        </w:tc>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Ustawienie</w:t>
            </w:r>
            <w:r w:rsidRPr="002A01B6">
              <w:rPr>
                <w:rFonts w:asciiTheme="majorHAnsi" w:eastAsia="Times New Roman" w:hAnsiTheme="majorHAnsi" w:cs="Times New Roman"/>
                <w:i/>
                <w:color w:val="3E3532"/>
                <w:lang w:eastAsia="pl-PL"/>
              </w:rPr>
              <w:br/>
              <w:t>teatralne</w:t>
            </w:r>
          </w:p>
        </w:tc>
        <w:tc>
          <w:tcPr>
            <w:tcW w:w="141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Ustawienie</w:t>
            </w:r>
            <w:r w:rsidRPr="002A01B6">
              <w:rPr>
                <w:rFonts w:asciiTheme="majorHAnsi" w:eastAsia="Times New Roman" w:hAnsiTheme="majorHAnsi" w:cs="Times New Roman"/>
                <w:i/>
                <w:color w:val="3E3532"/>
                <w:lang w:eastAsia="pl-PL"/>
              </w:rPr>
              <w:br/>
              <w:t>szkolne</w:t>
            </w:r>
          </w:p>
        </w:tc>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Ustawienie</w:t>
            </w:r>
            <w:r w:rsidRPr="002A01B6">
              <w:rPr>
                <w:rFonts w:asciiTheme="majorHAnsi" w:eastAsia="Times New Roman" w:hAnsiTheme="majorHAnsi" w:cs="Times New Roman"/>
                <w:i/>
                <w:color w:val="3E3532"/>
                <w:lang w:eastAsia="pl-PL"/>
              </w:rPr>
              <w:br/>
              <w:t>w podkowę</w:t>
            </w:r>
          </w:p>
        </w:tc>
        <w:tc>
          <w:tcPr>
            <w:tcW w:w="1425"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Cena</w:t>
            </w:r>
          </w:p>
        </w:tc>
      </w:tr>
      <w:tr w:rsidR="002A01B6" w:rsidRPr="002A01B6" w:rsidTr="002A01B6">
        <w:tc>
          <w:tcPr>
            <w:tcW w:w="1560" w:type="dxa"/>
            <w:tcBorders>
              <w:top w:val="nil"/>
              <w:left w:val="nil"/>
              <w:bottom w:val="nil"/>
              <w:right w:val="nil"/>
            </w:tcBorders>
            <w:vAlign w:val="bottom"/>
            <w:hideMark/>
          </w:tcPr>
          <w:p w:rsidR="002A01B6" w:rsidRPr="002A01B6" w:rsidRDefault="00CD27D3" w:rsidP="002A01B6">
            <w:pPr>
              <w:spacing w:after="0" w:line="240" w:lineRule="auto"/>
              <w:jc w:val="center"/>
              <w:rPr>
                <w:rFonts w:asciiTheme="majorHAnsi" w:eastAsia="Times New Roman" w:hAnsiTheme="majorHAnsi" w:cs="Times New Roman"/>
                <w:i/>
                <w:color w:val="3E3532"/>
                <w:lang w:eastAsia="pl-PL"/>
              </w:rPr>
            </w:pPr>
            <w:hyperlink r:id="rId4" w:tgtFrame="_blank" w:history="1">
              <w:r w:rsidR="002A01B6" w:rsidRPr="002A01B6">
                <w:rPr>
                  <w:rFonts w:asciiTheme="majorHAnsi" w:eastAsia="Times New Roman" w:hAnsiTheme="majorHAnsi" w:cs="Times New Roman"/>
                  <w:i/>
                  <w:color w:val="914240"/>
                  <w:lang w:eastAsia="pl-PL"/>
                </w:rPr>
                <w:t>SALA BIAŁA</w:t>
              </w:r>
            </w:hyperlink>
          </w:p>
        </w:tc>
        <w:tc>
          <w:tcPr>
            <w:tcW w:w="1335"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150</w:t>
            </w:r>
          </w:p>
        </w:tc>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200</w:t>
            </w:r>
          </w:p>
        </w:tc>
        <w:tc>
          <w:tcPr>
            <w:tcW w:w="141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100</w:t>
            </w:r>
          </w:p>
        </w:tc>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60</w:t>
            </w:r>
          </w:p>
        </w:tc>
        <w:tc>
          <w:tcPr>
            <w:tcW w:w="1425"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3000 PLN</w:t>
            </w:r>
          </w:p>
        </w:tc>
      </w:tr>
      <w:tr w:rsidR="002A01B6" w:rsidRPr="002A01B6" w:rsidTr="002A01B6">
        <w:tc>
          <w:tcPr>
            <w:tcW w:w="1560" w:type="dxa"/>
            <w:tcBorders>
              <w:top w:val="nil"/>
              <w:left w:val="nil"/>
              <w:bottom w:val="nil"/>
              <w:right w:val="nil"/>
            </w:tcBorders>
            <w:vAlign w:val="bottom"/>
            <w:hideMark/>
          </w:tcPr>
          <w:p w:rsidR="002A01B6" w:rsidRPr="002A01B6" w:rsidRDefault="00CD27D3" w:rsidP="002A01B6">
            <w:pPr>
              <w:spacing w:after="0" w:line="240" w:lineRule="auto"/>
              <w:jc w:val="center"/>
              <w:rPr>
                <w:rFonts w:asciiTheme="majorHAnsi" w:eastAsia="Times New Roman" w:hAnsiTheme="majorHAnsi" w:cs="Times New Roman"/>
                <w:i/>
                <w:color w:val="3E3532"/>
                <w:lang w:eastAsia="pl-PL"/>
              </w:rPr>
            </w:pPr>
            <w:hyperlink r:id="rId5" w:history="1">
              <w:r w:rsidR="002A01B6" w:rsidRPr="002A01B6">
                <w:rPr>
                  <w:rFonts w:asciiTheme="majorHAnsi" w:eastAsia="Times New Roman" w:hAnsiTheme="majorHAnsi" w:cs="Times New Roman"/>
                  <w:i/>
                  <w:color w:val="914240"/>
                  <w:lang w:eastAsia="pl-PL"/>
                </w:rPr>
                <w:t>DĘBOWA</w:t>
              </w:r>
            </w:hyperlink>
          </w:p>
        </w:tc>
        <w:tc>
          <w:tcPr>
            <w:tcW w:w="1335"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108</w:t>
            </w:r>
          </w:p>
        </w:tc>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100</w:t>
            </w:r>
          </w:p>
        </w:tc>
        <w:tc>
          <w:tcPr>
            <w:tcW w:w="141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50</w:t>
            </w:r>
          </w:p>
        </w:tc>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40</w:t>
            </w:r>
          </w:p>
        </w:tc>
        <w:tc>
          <w:tcPr>
            <w:tcW w:w="1425"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2000 PLN</w:t>
            </w:r>
          </w:p>
        </w:tc>
      </w:tr>
      <w:tr w:rsidR="002A01B6" w:rsidRPr="002A01B6" w:rsidTr="002A01B6">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ZIELONA</w:t>
            </w:r>
          </w:p>
        </w:tc>
        <w:tc>
          <w:tcPr>
            <w:tcW w:w="1335"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190</w:t>
            </w:r>
          </w:p>
        </w:tc>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250</w:t>
            </w:r>
          </w:p>
        </w:tc>
        <w:tc>
          <w:tcPr>
            <w:tcW w:w="141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110</w:t>
            </w:r>
          </w:p>
        </w:tc>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60</w:t>
            </w:r>
          </w:p>
        </w:tc>
        <w:tc>
          <w:tcPr>
            <w:tcW w:w="1425"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5500 PLN</w:t>
            </w:r>
          </w:p>
        </w:tc>
      </w:tr>
      <w:tr w:rsidR="002A01B6" w:rsidRPr="002A01B6" w:rsidTr="002A01B6">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PRASOWA</w:t>
            </w:r>
          </w:p>
        </w:tc>
        <w:tc>
          <w:tcPr>
            <w:tcW w:w="1335"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35</w:t>
            </w:r>
          </w:p>
        </w:tc>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30</w:t>
            </w:r>
          </w:p>
        </w:tc>
        <w:tc>
          <w:tcPr>
            <w:tcW w:w="141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20</w:t>
            </w:r>
          </w:p>
        </w:tc>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20</w:t>
            </w:r>
          </w:p>
        </w:tc>
        <w:tc>
          <w:tcPr>
            <w:tcW w:w="1425"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1000 PLN</w:t>
            </w:r>
          </w:p>
        </w:tc>
      </w:tr>
      <w:tr w:rsidR="002A01B6" w:rsidRPr="002A01B6" w:rsidTr="002A01B6">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VIP ROOM</w:t>
            </w:r>
          </w:p>
        </w:tc>
        <w:tc>
          <w:tcPr>
            <w:tcW w:w="1335"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30</w:t>
            </w:r>
          </w:p>
        </w:tc>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20</w:t>
            </w:r>
          </w:p>
        </w:tc>
        <w:tc>
          <w:tcPr>
            <w:tcW w:w="141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20</w:t>
            </w:r>
          </w:p>
        </w:tc>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w:t>
            </w:r>
          </w:p>
        </w:tc>
        <w:tc>
          <w:tcPr>
            <w:tcW w:w="1425"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800 PLN</w:t>
            </w:r>
          </w:p>
        </w:tc>
      </w:tr>
      <w:tr w:rsidR="002A01B6" w:rsidRPr="002A01B6" w:rsidTr="002A01B6">
        <w:tc>
          <w:tcPr>
            <w:tcW w:w="156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NAD MOTŁAWĄ</w:t>
            </w:r>
          </w:p>
        </w:tc>
        <w:tc>
          <w:tcPr>
            <w:tcW w:w="1335"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75</w:t>
            </w:r>
          </w:p>
        </w:tc>
        <w:tc>
          <w:tcPr>
            <w:tcW w:w="1560" w:type="dxa"/>
            <w:tcBorders>
              <w:top w:val="nil"/>
              <w:left w:val="nil"/>
              <w:bottom w:val="nil"/>
              <w:right w:val="nil"/>
            </w:tcBorders>
            <w:vAlign w:val="bottom"/>
            <w:hideMark/>
          </w:tcPr>
          <w:p w:rsidR="002A01B6" w:rsidRPr="002A01B6" w:rsidRDefault="007A06A2" w:rsidP="002A01B6">
            <w:pPr>
              <w:spacing w:after="0" w:line="240" w:lineRule="auto"/>
              <w:jc w:val="center"/>
              <w:rPr>
                <w:rFonts w:asciiTheme="majorHAnsi" w:eastAsia="Times New Roman" w:hAnsiTheme="majorHAnsi" w:cs="Times New Roman"/>
                <w:i/>
                <w:color w:val="3E3532"/>
                <w:lang w:eastAsia="pl-PL"/>
              </w:rPr>
            </w:pPr>
            <w:r>
              <w:rPr>
                <w:rFonts w:asciiTheme="majorHAnsi" w:eastAsia="Times New Roman" w:hAnsiTheme="majorHAnsi" w:cs="Times New Roman"/>
                <w:i/>
                <w:color w:val="3E3532"/>
                <w:lang w:eastAsia="pl-PL"/>
              </w:rPr>
              <w:t>5</w:t>
            </w:r>
            <w:r w:rsidR="002A01B6" w:rsidRPr="002A01B6">
              <w:rPr>
                <w:rFonts w:asciiTheme="majorHAnsi" w:eastAsia="Times New Roman" w:hAnsiTheme="majorHAnsi" w:cs="Times New Roman"/>
                <w:i/>
                <w:color w:val="3E3532"/>
                <w:lang w:eastAsia="pl-PL"/>
              </w:rPr>
              <w:t>0</w:t>
            </w:r>
          </w:p>
        </w:tc>
        <w:tc>
          <w:tcPr>
            <w:tcW w:w="1410"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35</w:t>
            </w:r>
          </w:p>
        </w:tc>
        <w:tc>
          <w:tcPr>
            <w:tcW w:w="1560" w:type="dxa"/>
            <w:tcBorders>
              <w:top w:val="nil"/>
              <w:left w:val="nil"/>
              <w:bottom w:val="nil"/>
              <w:right w:val="nil"/>
            </w:tcBorders>
            <w:vAlign w:val="bottom"/>
            <w:hideMark/>
          </w:tcPr>
          <w:p w:rsidR="002A01B6" w:rsidRPr="002A01B6" w:rsidRDefault="007A06A2" w:rsidP="002A01B6">
            <w:pPr>
              <w:spacing w:after="0" w:line="240" w:lineRule="auto"/>
              <w:jc w:val="center"/>
              <w:rPr>
                <w:rFonts w:asciiTheme="majorHAnsi" w:eastAsia="Times New Roman" w:hAnsiTheme="majorHAnsi" w:cs="Times New Roman"/>
                <w:i/>
                <w:color w:val="3E3532"/>
                <w:lang w:eastAsia="pl-PL"/>
              </w:rPr>
            </w:pPr>
            <w:r>
              <w:rPr>
                <w:rFonts w:asciiTheme="majorHAnsi" w:eastAsia="Times New Roman" w:hAnsiTheme="majorHAnsi" w:cs="Times New Roman"/>
                <w:i/>
                <w:color w:val="3E3532"/>
                <w:lang w:eastAsia="pl-PL"/>
              </w:rPr>
              <w:t>2</w:t>
            </w:r>
            <w:r w:rsidR="002A01B6" w:rsidRPr="002A01B6">
              <w:rPr>
                <w:rFonts w:asciiTheme="majorHAnsi" w:eastAsia="Times New Roman" w:hAnsiTheme="majorHAnsi" w:cs="Times New Roman"/>
                <w:i/>
                <w:color w:val="3E3532"/>
                <w:lang w:eastAsia="pl-PL"/>
              </w:rPr>
              <w:t>5</w:t>
            </w:r>
          </w:p>
        </w:tc>
        <w:tc>
          <w:tcPr>
            <w:tcW w:w="1425" w:type="dxa"/>
            <w:tcBorders>
              <w:top w:val="nil"/>
              <w:left w:val="nil"/>
              <w:bottom w:val="nil"/>
              <w:right w:val="nil"/>
            </w:tcBorders>
            <w:vAlign w:val="bottom"/>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1000 PLN</w:t>
            </w:r>
          </w:p>
        </w:tc>
      </w:tr>
      <w:tr w:rsidR="002A01B6" w:rsidRPr="002A01B6" w:rsidTr="002A01B6">
        <w:tc>
          <w:tcPr>
            <w:tcW w:w="0" w:type="auto"/>
            <w:vAlign w:val="center"/>
            <w:hideMark/>
          </w:tcPr>
          <w:p w:rsidR="002A01B6" w:rsidRPr="002A01B6" w:rsidRDefault="002A01B6" w:rsidP="002A01B6">
            <w:pPr>
              <w:spacing w:after="0" w:line="240" w:lineRule="auto"/>
              <w:jc w:val="center"/>
              <w:rPr>
                <w:rFonts w:asciiTheme="majorHAnsi" w:eastAsia="Times New Roman" w:hAnsiTheme="majorHAnsi" w:cs="Times New Roman"/>
                <w:i/>
                <w:color w:val="3E3532"/>
                <w:lang w:eastAsia="pl-PL"/>
              </w:rPr>
            </w:pPr>
          </w:p>
        </w:tc>
        <w:tc>
          <w:tcPr>
            <w:tcW w:w="0" w:type="auto"/>
            <w:vAlign w:val="center"/>
            <w:hideMark/>
          </w:tcPr>
          <w:p w:rsidR="002A01B6" w:rsidRPr="002A01B6" w:rsidRDefault="002A01B6" w:rsidP="002A01B6">
            <w:pPr>
              <w:spacing w:after="0" w:line="240" w:lineRule="auto"/>
              <w:rPr>
                <w:rFonts w:asciiTheme="majorHAnsi" w:eastAsia="Times New Roman" w:hAnsiTheme="majorHAnsi" w:cs="Times New Roman"/>
                <w:i/>
                <w:sz w:val="20"/>
                <w:szCs w:val="20"/>
                <w:lang w:eastAsia="pl-PL"/>
              </w:rPr>
            </w:pPr>
          </w:p>
        </w:tc>
        <w:tc>
          <w:tcPr>
            <w:tcW w:w="0" w:type="auto"/>
            <w:vAlign w:val="center"/>
            <w:hideMark/>
          </w:tcPr>
          <w:p w:rsidR="002A01B6" w:rsidRPr="002A01B6" w:rsidRDefault="002A01B6" w:rsidP="002A01B6">
            <w:pPr>
              <w:spacing w:after="0" w:line="240" w:lineRule="auto"/>
              <w:rPr>
                <w:rFonts w:asciiTheme="majorHAnsi" w:eastAsia="Times New Roman" w:hAnsiTheme="majorHAnsi" w:cs="Times New Roman"/>
                <w:i/>
                <w:sz w:val="20"/>
                <w:szCs w:val="20"/>
                <w:lang w:eastAsia="pl-PL"/>
              </w:rPr>
            </w:pPr>
          </w:p>
        </w:tc>
        <w:tc>
          <w:tcPr>
            <w:tcW w:w="0" w:type="auto"/>
            <w:vAlign w:val="center"/>
            <w:hideMark/>
          </w:tcPr>
          <w:p w:rsidR="002A01B6" w:rsidRPr="002A01B6" w:rsidRDefault="002A01B6" w:rsidP="002A01B6">
            <w:pPr>
              <w:spacing w:after="0" w:line="240" w:lineRule="auto"/>
              <w:rPr>
                <w:rFonts w:asciiTheme="majorHAnsi" w:eastAsia="Times New Roman" w:hAnsiTheme="majorHAnsi" w:cs="Times New Roman"/>
                <w:i/>
                <w:sz w:val="20"/>
                <w:szCs w:val="20"/>
                <w:lang w:eastAsia="pl-PL"/>
              </w:rPr>
            </w:pPr>
          </w:p>
        </w:tc>
        <w:tc>
          <w:tcPr>
            <w:tcW w:w="0" w:type="auto"/>
            <w:vAlign w:val="center"/>
            <w:hideMark/>
          </w:tcPr>
          <w:p w:rsidR="002A01B6" w:rsidRPr="002A01B6" w:rsidRDefault="002A01B6" w:rsidP="002A01B6">
            <w:pPr>
              <w:spacing w:after="0" w:line="240" w:lineRule="auto"/>
              <w:rPr>
                <w:rFonts w:asciiTheme="majorHAnsi" w:eastAsia="Times New Roman" w:hAnsiTheme="majorHAnsi" w:cs="Times New Roman"/>
                <w:i/>
                <w:sz w:val="20"/>
                <w:szCs w:val="20"/>
                <w:lang w:eastAsia="pl-PL"/>
              </w:rPr>
            </w:pPr>
          </w:p>
        </w:tc>
        <w:tc>
          <w:tcPr>
            <w:tcW w:w="0" w:type="auto"/>
            <w:vAlign w:val="center"/>
            <w:hideMark/>
          </w:tcPr>
          <w:p w:rsidR="002A01B6" w:rsidRPr="002A01B6" w:rsidRDefault="002A01B6" w:rsidP="002A01B6">
            <w:pPr>
              <w:spacing w:after="0" w:line="240" w:lineRule="auto"/>
              <w:rPr>
                <w:rFonts w:asciiTheme="majorHAnsi" w:eastAsia="Times New Roman" w:hAnsiTheme="majorHAnsi" w:cs="Times New Roman"/>
                <w:i/>
                <w:sz w:val="20"/>
                <w:szCs w:val="20"/>
                <w:lang w:eastAsia="pl-PL"/>
              </w:rPr>
            </w:pPr>
          </w:p>
        </w:tc>
      </w:tr>
    </w:tbl>
    <w:p w:rsidR="002A01B6" w:rsidRPr="002A01B6" w:rsidRDefault="002A01B6" w:rsidP="002A01B6">
      <w:pPr>
        <w:spacing w:after="0" w:line="240" w:lineRule="auto"/>
        <w:jc w:val="center"/>
        <w:textAlignment w:val="baseline"/>
        <w:rPr>
          <w:rFonts w:asciiTheme="majorHAnsi" w:eastAsia="Times New Roman" w:hAnsiTheme="majorHAnsi" w:cs="Times New Roman"/>
          <w:b/>
          <w:bCs/>
          <w:i/>
          <w:color w:val="3E3532"/>
          <w:u w:val="single"/>
          <w:lang w:eastAsia="pl-PL"/>
        </w:rPr>
      </w:pPr>
    </w:p>
    <w:p w:rsidR="002A01B6" w:rsidRPr="002A01B6" w:rsidRDefault="002A01B6" w:rsidP="002A01B6">
      <w:pPr>
        <w:spacing w:after="0" w:line="240" w:lineRule="auto"/>
        <w:jc w:val="center"/>
        <w:textAlignment w:val="baseline"/>
        <w:rPr>
          <w:rFonts w:asciiTheme="majorHAnsi" w:eastAsia="Times New Roman" w:hAnsiTheme="majorHAnsi" w:cs="Times New Roman"/>
          <w:i/>
          <w:color w:val="3E3532"/>
          <w:lang w:eastAsia="pl-PL"/>
        </w:rPr>
      </w:pPr>
      <w:r w:rsidRPr="002A01B6">
        <w:rPr>
          <w:rFonts w:asciiTheme="majorHAnsi" w:eastAsia="Times New Roman" w:hAnsiTheme="majorHAnsi" w:cs="Times New Roman"/>
          <w:b/>
          <w:bCs/>
          <w:i/>
          <w:color w:val="3E3532"/>
          <w:u w:val="single"/>
          <w:lang w:eastAsia="pl-PL"/>
        </w:rPr>
        <w:t>Dodatkowe wyposażenie:</w:t>
      </w:r>
    </w:p>
    <w:p w:rsidR="002A01B6" w:rsidRPr="002A01B6" w:rsidRDefault="002A01B6" w:rsidP="002A01B6">
      <w:pPr>
        <w:spacing w:after="0" w:line="240" w:lineRule="auto"/>
        <w:jc w:val="center"/>
        <w:textAlignment w:val="baseline"/>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 xml:space="preserve">– </w:t>
      </w:r>
      <w:proofErr w:type="spellStart"/>
      <w:r w:rsidRPr="002A01B6">
        <w:rPr>
          <w:rFonts w:asciiTheme="majorHAnsi" w:eastAsia="Times New Roman" w:hAnsiTheme="majorHAnsi" w:cs="Times New Roman"/>
          <w:i/>
          <w:color w:val="3E3532"/>
          <w:lang w:eastAsia="pl-PL"/>
        </w:rPr>
        <w:t>flipchart</w:t>
      </w:r>
      <w:proofErr w:type="spellEnd"/>
      <w:r w:rsidRPr="002A01B6">
        <w:rPr>
          <w:rFonts w:asciiTheme="majorHAnsi" w:eastAsia="Times New Roman" w:hAnsiTheme="majorHAnsi" w:cs="Times New Roman"/>
          <w:i/>
          <w:color w:val="3E3532"/>
          <w:lang w:eastAsia="pl-PL"/>
        </w:rPr>
        <w:t xml:space="preserve"> + mazaki – 300 PLN</w:t>
      </w:r>
    </w:p>
    <w:p w:rsidR="002A01B6" w:rsidRPr="002A01B6" w:rsidRDefault="002A01B6" w:rsidP="002A01B6">
      <w:pPr>
        <w:spacing w:after="0" w:line="240" w:lineRule="auto"/>
        <w:jc w:val="center"/>
        <w:textAlignment w:val="baseline"/>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 nagłośnienie ( głośniki + 2 mikrofony) – cena 500 zł/netto (w przypadku Sali Białej, Dębowej, Zielonej   wliczony jest w cenie wynajmu)</w:t>
      </w:r>
    </w:p>
    <w:p w:rsidR="002A01B6" w:rsidRPr="002A01B6" w:rsidRDefault="002A01B6" w:rsidP="002A01B6">
      <w:pPr>
        <w:spacing w:after="0" w:line="240" w:lineRule="auto"/>
        <w:jc w:val="center"/>
        <w:textAlignment w:val="baseline"/>
        <w:rPr>
          <w:rFonts w:asciiTheme="majorHAnsi" w:eastAsia="Times New Roman" w:hAnsiTheme="majorHAnsi" w:cs="Times New Roman"/>
          <w:i/>
          <w:color w:val="3E3532"/>
          <w:lang w:eastAsia="pl-PL"/>
        </w:rPr>
      </w:pPr>
      <w:r w:rsidRPr="002A01B6">
        <w:rPr>
          <w:rFonts w:asciiTheme="majorHAnsi" w:eastAsia="Times New Roman" w:hAnsiTheme="majorHAnsi" w:cs="Times New Roman"/>
          <w:i/>
          <w:color w:val="3E3532"/>
          <w:lang w:eastAsia="pl-PL"/>
        </w:rPr>
        <w:t>– ekran, rzutnik multimedialny – cena 450 zł/netto (w przypadku Sali Białej, Dębowej, Zielonej  wliczony jest w cenie wynajmu)</w:t>
      </w:r>
    </w:p>
    <w:p w:rsidR="002A01B6" w:rsidRPr="002A01B6" w:rsidRDefault="002A01B6">
      <w:pPr>
        <w:rPr>
          <w:rFonts w:asciiTheme="majorHAnsi" w:hAnsiTheme="majorHAnsi"/>
          <w:i/>
        </w:rPr>
      </w:pPr>
    </w:p>
    <w:sectPr w:rsidR="002A01B6" w:rsidRPr="002A01B6" w:rsidSect="003C13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2A01B6"/>
    <w:rsid w:val="002A01B6"/>
    <w:rsid w:val="003C134F"/>
    <w:rsid w:val="0056255F"/>
    <w:rsid w:val="007A06A2"/>
    <w:rsid w:val="00CD27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134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A01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A01B6"/>
    <w:rPr>
      <w:b/>
      <w:bCs/>
    </w:rPr>
  </w:style>
  <w:style w:type="character" w:styleId="Hipercze">
    <w:name w:val="Hyperlink"/>
    <w:basedOn w:val="Domylnaczcionkaakapitu"/>
    <w:uiPriority w:val="99"/>
    <w:semiHidden/>
    <w:unhideWhenUsed/>
    <w:rsid w:val="002A01B6"/>
    <w:rPr>
      <w:color w:val="0000FF"/>
      <w:u w:val="single"/>
    </w:rPr>
  </w:style>
</w:styles>
</file>

<file path=word/webSettings.xml><?xml version="1.0" encoding="utf-8"?>
<w:webSettings xmlns:r="http://schemas.openxmlformats.org/officeDocument/2006/relationships" xmlns:w="http://schemas.openxmlformats.org/wordprocessingml/2006/main">
  <w:divs>
    <w:div w:id="3236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tauracjafilharmonia.pl/wp-content/uploads/2016/04/DSC_0572res.jpg" TargetMode="External"/><Relationship Id="rId4" Type="http://schemas.openxmlformats.org/officeDocument/2006/relationships/hyperlink" Target="https://www.restauracjafilharmonia.pl/wp-content/uploads/2017/09/salajazzowapfb.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1375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marketing_2</dc:creator>
  <cp:lastModifiedBy>marketing_2</cp:lastModifiedBy>
  <cp:revision>2</cp:revision>
  <dcterms:created xsi:type="dcterms:W3CDTF">2024-01-31T09:33:00Z</dcterms:created>
  <dcterms:modified xsi:type="dcterms:W3CDTF">2024-01-31T09:43:00Z</dcterms:modified>
</cp:coreProperties>
</file>